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854826">
      <w:pPr>
        <w:pStyle w:val="2"/>
        <w:spacing w:before="136" w:line="219" w:lineRule="auto"/>
        <w:ind w:firstLine="5403" w:firstLineChars="1300"/>
        <w:jc w:val="both"/>
        <w:outlineLvl w:val="0"/>
        <w:rPr>
          <w:sz w:val="42"/>
          <w:szCs w:val="42"/>
        </w:rPr>
      </w:pPr>
      <w:bookmarkStart w:id="0" w:name="_GoBack"/>
      <w:bookmarkEnd w:id="0"/>
      <w:r>
        <w:rPr>
          <w:b/>
          <w:bCs/>
          <w:spacing w:val="-3"/>
          <w:sz w:val="42"/>
          <w:szCs w:val="42"/>
        </w:rPr>
        <w:t>资金使用情况</w:t>
      </w:r>
    </w:p>
    <w:p w14:paraId="19B93919">
      <w:pPr>
        <w:pStyle w:val="2"/>
        <w:spacing w:before="211" w:line="219" w:lineRule="auto"/>
        <w:ind w:firstLine="552" w:firstLineChars="200"/>
        <w:rPr>
          <w:b/>
          <w:bCs/>
          <w:spacing w:val="-6"/>
          <w:sz w:val="31"/>
          <w:szCs w:val="31"/>
        </w:rPr>
      </w:pPr>
      <w:r>
        <w:rPr>
          <w:spacing w:val="-2"/>
          <w:sz w:val="28"/>
          <w:szCs w:val="28"/>
        </w:rPr>
        <w:t>我单位于2024年度资金使用情况、公益活动和非营利活动的明细情况如下：</w:t>
      </w:r>
    </w:p>
    <w:p w14:paraId="1DD989B2">
      <w:pPr>
        <w:pStyle w:val="2"/>
        <w:spacing w:before="304" w:line="219" w:lineRule="auto"/>
        <w:ind w:left="4668"/>
        <w:rPr>
          <w:sz w:val="27"/>
          <w:szCs w:val="27"/>
        </w:rPr>
      </w:pPr>
      <w:r>
        <w:rPr>
          <w:b/>
          <w:bCs/>
          <w:spacing w:val="10"/>
          <w:sz w:val="27"/>
          <w:szCs w:val="27"/>
        </w:rPr>
        <w:t>公益性和非营利性活动明细情况表</w:t>
      </w:r>
    </w:p>
    <w:p w14:paraId="6706976B">
      <w:pPr>
        <w:pStyle w:val="2"/>
        <w:spacing w:before="162" w:line="220" w:lineRule="auto"/>
        <w:ind w:left="12124"/>
        <w:rPr>
          <w:sz w:val="21"/>
          <w:szCs w:val="21"/>
        </w:rPr>
      </w:pPr>
      <w:r>
        <w:rPr>
          <w:spacing w:val="7"/>
          <w:sz w:val="21"/>
          <w:szCs w:val="21"/>
        </w:rPr>
        <w:t>(单位：元</w:t>
      </w:r>
      <w:r>
        <w:rPr>
          <w:rFonts w:hint="eastAsia"/>
          <w:spacing w:val="7"/>
          <w:sz w:val="21"/>
          <w:szCs w:val="21"/>
          <w:lang w:eastAsia="zh-CN"/>
        </w:rPr>
        <w:t>）</w:t>
      </w:r>
    </w:p>
    <w:tbl>
      <w:tblPr>
        <w:tblStyle w:val="5"/>
        <w:tblW w:w="1396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0"/>
        <w:gridCol w:w="10"/>
        <w:gridCol w:w="1129"/>
        <w:gridCol w:w="10"/>
        <w:gridCol w:w="10"/>
        <w:gridCol w:w="909"/>
        <w:gridCol w:w="10"/>
        <w:gridCol w:w="20"/>
        <w:gridCol w:w="1419"/>
        <w:gridCol w:w="80"/>
        <w:gridCol w:w="76"/>
        <w:gridCol w:w="29"/>
        <w:gridCol w:w="1534"/>
        <w:gridCol w:w="30"/>
        <w:gridCol w:w="40"/>
        <w:gridCol w:w="7650"/>
        <w:gridCol w:w="284"/>
        <w:gridCol w:w="6"/>
      </w:tblGrid>
      <w:tr w14:paraId="724F9F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90" w:type="dxa"/>
          <w:trHeight w:val="913" w:hRule="atLeast"/>
        </w:trPr>
        <w:tc>
          <w:tcPr>
            <w:tcW w:w="704" w:type="dxa"/>
            <w:vAlign w:val="top"/>
          </w:tcPr>
          <w:p w14:paraId="1AA5C1A3">
            <w:pPr>
              <w:spacing w:before="72" w:line="221" w:lineRule="auto"/>
              <w:ind w:left="12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序号</w:t>
            </w:r>
          </w:p>
        </w:tc>
        <w:tc>
          <w:tcPr>
            <w:tcW w:w="1159" w:type="dxa"/>
            <w:gridSpan w:val="4"/>
            <w:vAlign w:val="top"/>
          </w:tcPr>
          <w:p w14:paraId="0AEF0267">
            <w:pPr>
              <w:spacing w:before="23" w:line="246" w:lineRule="auto"/>
              <w:ind w:left="134" w:right="12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z w:val="22"/>
                <w:szCs w:val="22"/>
              </w:rPr>
              <w:t>公益性和</w:t>
            </w:r>
            <w:r>
              <w:rPr>
                <w:rFonts w:ascii="宋体" w:hAnsi="宋体" w:eastAsia="宋体" w:cs="宋体"/>
                <w:b/>
                <w:bCs/>
                <w:spacing w:val="-6"/>
                <w:sz w:val="22"/>
                <w:szCs w:val="22"/>
              </w:rPr>
              <w:t>非营利性</w:t>
            </w:r>
            <w:r>
              <w:rPr>
                <w:rFonts w:ascii="宋体" w:hAnsi="宋体" w:eastAsia="宋体" w:cs="宋体"/>
                <w:b/>
                <w:bCs/>
                <w:spacing w:val="-5"/>
                <w:sz w:val="22"/>
                <w:szCs w:val="22"/>
              </w:rPr>
              <w:t>活动名称</w:t>
            </w:r>
          </w:p>
        </w:tc>
        <w:tc>
          <w:tcPr>
            <w:tcW w:w="4087" w:type="dxa"/>
            <w:gridSpan w:val="9"/>
            <w:vAlign w:val="top"/>
          </w:tcPr>
          <w:p w14:paraId="2CD385C5">
            <w:pPr>
              <w:spacing w:before="71" w:line="220" w:lineRule="auto"/>
              <w:ind w:left="87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1"/>
                <w:sz w:val="22"/>
                <w:szCs w:val="22"/>
              </w:rPr>
              <w:t>活动时间、地点及支出</w:t>
            </w:r>
          </w:p>
        </w:tc>
        <w:tc>
          <w:tcPr>
            <w:tcW w:w="7720" w:type="dxa"/>
            <w:gridSpan w:val="3"/>
            <w:vAlign w:val="top"/>
          </w:tcPr>
          <w:p w14:paraId="7D117391">
            <w:pPr>
              <w:spacing w:before="72" w:line="219" w:lineRule="auto"/>
              <w:ind w:left="2948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b/>
                <w:bCs/>
                <w:spacing w:val="-4"/>
                <w:sz w:val="22"/>
                <w:szCs w:val="22"/>
              </w:rPr>
              <w:t>活动具体内容</w:t>
            </w:r>
          </w:p>
        </w:tc>
      </w:tr>
      <w:tr w14:paraId="7BCC13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90" w:type="dxa"/>
          <w:trHeight w:val="628" w:hRule="atLeast"/>
        </w:trPr>
        <w:tc>
          <w:tcPr>
            <w:tcW w:w="704" w:type="dxa"/>
            <w:vMerge w:val="restart"/>
            <w:tcBorders>
              <w:bottom w:val="nil"/>
            </w:tcBorders>
            <w:vAlign w:val="top"/>
          </w:tcPr>
          <w:p w14:paraId="4CED14B5">
            <w:pPr>
              <w:spacing w:before="72" w:line="241" w:lineRule="auto"/>
              <w:ind w:left="284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1</w:t>
            </w:r>
          </w:p>
        </w:tc>
        <w:tc>
          <w:tcPr>
            <w:tcW w:w="1159" w:type="dxa"/>
            <w:gridSpan w:val="4"/>
            <w:vMerge w:val="restart"/>
            <w:tcBorders>
              <w:bottom w:val="nil"/>
            </w:tcBorders>
            <w:vAlign w:val="top"/>
          </w:tcPr>
          <w:p w14:paraId="0D2318BF">
            <w:pPr>
              <w:pStyle w:val="6"/>
              <w:spacing w:line="308" w:lineRule="auto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/>
              </w:rPr>
              <w:t>“建外红”志愿服务品牌项目</w:t>
            </w:r>
            <w:r>
              <w:rPr>
                <w:rFonts w:hint="eastAsia" w:eastAsia="宋体"/>
                <w:lang w:eastAsia="zh-CN"/>
              </w:rPr>
              <w:t>——</w:t>
            </w:r>
            <w:r>
              <w:rPr>
                <w:rFonts w:hint="eastAsia" w:ascii="宋体" w:hAnsi="宋体" w:eastAsia="宋体" w:cs="宋体"/>
                <w:sz w:val="22"/>
                <w:szCs w:val="22"/>
              </w:rPr>
              <w:t>建外街道“建外红”志愿服务平台建设</w:t>
            </w:r>
          </w:p>
        </w:tc>
        <w:tc>
          <w:tcPr>
            <w:tcW w:w="929" w:type="dxa"/>
            <w:gridSpan w:val="3"/>
            <w:vAlign w:val="top"/>
          </w:tcPr>
          <w:p w14:paraId="48EB530C">
            <w:pPr>
              <w:spacing w:before="214" w:line="221" w:lineRule="auto"/>
              <w:ind w:left="2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0"/>
                <w:sz w:val="22"/>
                <w:szCs w:val="22"/>
              </w:rPr>
              <w:t>时间</w:t>
            </w:r>
          </w:p>
        </w:tc>
        <w:tc>
          <w:tcPr>
            <w:tcW w:w="3158" w:type="dxa"/>
            <w:gridSpan w:val="6"/>
            <w:vAlign w:val="top"/>
          </w:tcPr>
          <w:p w14:paraId="62F42500">
            <w:pPr>
              <w:spacing w:before="51" w:line="219" w:lineRule="auto"/>
              <w:ind w:left="11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4"/>
                <w:sz w:val="22"/>
                <w:szCs w:val="22"/>
              </w:rPr>
              <w:t>2023年7月1日至2024年</w:t>
            </w:r>
            <w:r>
              <w:rPr>
                <w:rFonts w:ascii="宋体" w:hAnsi="宋体" w:eastAsia="宋体" w:cs="宋体"/>
                <w:spacing w:val="-8"/>
                <w:sz w:val="22"/>
                <w:szCs w:val="22"/>
              </w:rPr>
              <w:t>6月30日</w:t>
            </w:r>
          </w:p>
        </w:tc>
        <w:tc>
          <w:tcPr>
            <w:tcW w:w="7720" w:type="dxa"/>
            <w:gridSpan w:val="3"/>
            <w:vMerge w:val="restart"/>
            <w:tcBorders>
              <w:bottom w:val="nil"/>
            </w:tcBorders>
            <w:vAlign w:val="top"/>
          </w:tcPr>
          <w:p w14:paraId="14E0BB6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一、项目背景</w:t>
            </w:r>
          </w:p>
          <w:p w14:paraId="2AC02D9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朝阳建外街道坚持以党建引领基层治理，创新打造“建外红”志愿服务品牌项目，构建通过数字化手段赋能社区治理。依托“建外红”志愿服务平台小程序，实现志愿者注册管理、服务发布、时长记录及激励回馈等功能，并与辖区20余家公益兑换服务商（涵盖商超、餐饮、便民服务等）联动，形成“志愿时长—商业反哺”良性循环机制。截至</w:t>
            </w:r>
            <w:r>
              <w:rPr>
                <w:rFonts w:hint="eastAsia" w:eastAsia="宋体"/>
                <w:lang w:val="en-US" w:eastAsia="zh-CN"/>
              </w:rPr>
              <w:t>2024年</w:t>
            </w:r>
            <w:r>
              <w:rPr>
                <w:rFonts w:hint="eastAsia"/>
              </w:rPr>
              <w:t>，平台注册志愿者达1.22万人，累计开展活动569场，发放志愿服务时长34万小时，反哺时长19万小时，有效激发社会参与活力，推动共建共治共享格局形成。</w:t>
            </w:r>
          </w:p>
          <w:p w14:paraId="0A8DCD0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二、基金会</w:t>
            </w:r>
            <w:r>
              <w:rPr>
                <w:rFonts w:hint="eastAsia" w:eastAsia="宋体"/>
                <w:b/>
                <w:bCs/>
                <w:lang w:val="en-US" w:eastAsia="zh-CN"/>
              </w:rPr>
              <w:t>所作</w:t>
            </w:r>
            <w:r>
              <w:rPr>
                <w:rFonts w:hint="eastAsia"/>
                <w:b/>
                <w:bCs/>
              </w:rPr>
              <w:t>工作描述</w:t>
            </w:r>
          </w:p>
          <w:p w14:paraId="06ED778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基金会深度参与“建外红”项目，</w:t>
            </w:r>
            <w:r>
              <w:rPr>
                <w:rFonts w:hint="eastAsia" w:eastAsia="宋体"/>
                <w:lang w:val="en-US" w:eastAsia="zh-CN"/>
              </w:rPr>
              <w:t>在</w:t>
            </w:r>
            <w:r>
              <w:rPr>
                <w:rFonts w:hint="eastAsia"/>
              </w:rPr>
              <w:t>北京市朝阳区人民政府建外街道办事处</w:t>
            </w:r>
            <w:r>
              <w:rPr>
                <w:rFonts w:hint="eastAsia" w:eastAsia="宋体"/>
                <w:lang w:val="en-US" w:eastAsia="zh-CN"/>
              </w:rPr>
              <w:t>的指导下，完成志愿服务</w:t>
            </w:r>
            <w:r>
              <w:rPr>
                <w:rFonts w:hint="eastAsia"/>
              </w:rPr>
              <w:t>平台搭建与公益时长兑换</w:t>
            </w:r>
            <w:r>
              <w:rPr>
                <w:rFonts w:hint="eastAsia" w:eastAsia="宋体"/>
                <w:lang w:val="en-US" w:eastAsia="zh-CN"/>
              </w:rPr>
              <w:t>功能</w:t>
            </w:r>
            <w:r>
              <w:rPr>
                <w:rFonts w:hint="eastAsia"/>
              </w:rPr>
              <w:t>，具体工作如下：协助打造朝阳建外街道志愿服务品牌项目，构建项目的基础框架。为“建外红”志愿服务平台开发小程序功能模块，实现志愿者招募、活动发布、积分发放等全流程数字化管理。</w:t>
            </w:r>
          </w:p>
          <w:p w14:paraId="23AE3758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  <w:b/>
                <w:bCs/>
              </w:rPr>
            </w:pPr>
            <w:r>
              <w:rPr>
                <w:rFonts w:hint="eastAsia" w:eastAsia="宋体"/>
                <w:b/>
                <w:bCs/>
                <w:lang w:val="en-US" w:eastAsia="zh-CN"/>
              </w:rPr>
              <w:t>三、</w:t>
            </w:r>
            <w:r>
              <w:rPr>
                <w:rFonts w:hint="eastAsia"/>
                <w:b/>
                <w:bCs/>
              </w:rPr>
              <w:t>公益成果</w:t>
            </w:r>
          </w:p>
          <w:p w14:paraId="1D3A9F0E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 w:eastAsia="宋体"/>
                <w:lang w:val="en-US" w:eastAsia="zh-CN"/>
              </w:rPr>
              <w:t>1.</w:t>
            </w:r>
            <w:r>
              <w:rPr>
                <w:rFonts w:hint="eastAsia"/>
                <w:b/>
                <w:bCs/>
              </w:rPr>
              <w:t>资源</w:t>
            </w:r>
            <w:r>
              <w:rPr>
                <w:rFonts w:hint="eastAsia" w:eastAsia="宋体"/>
                <w:b/>
                <w:bCs/>
                <w:lang w:val="en-US" w:eastAsia="zh-CN"/>
              </w:rPr>
              <w:t>引入</w:t>
            </w:r>
            <w:r>
              <w:rPr>
                <w:rFonts w:hint="eastAsia"/>
              </w:rPr>
              <w:t>：搭建企业志愿服务与社区需求对接平台，引导楼宇白领等群体积极参与基层治理。</w:t>
            </w:r>
          </w:p>
          <w:p w14:paraId="057BE17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 w:eastAsia="宋体"/>
                <w:lang w:val="en-US" w:eastAsia="zh-CN"/>
              </w:rPr>
              <w:t>2.</w:t>
            </w:r>
            <w:r>
              <w:rPr>
                <w:rFonts w:hint="eastAsia"/>
                <w:b/>
                <w:bCs/>
              </w:rPr>
              <w:t>为社会治理注入新动能</w:t>
            </w:r>
            <w:r>
              <w:rPr>
                <w:rFonts w:hint="eastAsia"/>
              </w:rPr>
              <w:t>：设计线下激励回馈方案，通过积分兑换机制提升志愿者的持续参与意愿，同时对辖区内的商家实现反哺，构建和谐且可持续的公益生态，覆盖辖区超万名志愿者，为社会治理注入新动能。</w:t>
            </w:r>
          </w:p>
          <w:p w14:paraId="53930029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 w:eastAsia="宋体"/>
                <w:lang w:val="en-US" w:eastAsia="zh-CN"/>
              </w:rPr>
              <w:t>3.</w:t>
            </w:r>
            <w:r>
              <w:rPr>
                <w:rFonts w:hint="eastAsia"/>
                <w:b/>
                <w:bCs/>
              </w:rPr>
              <w:t>志愿者数量</w:t>
            </w:r>
            <w:r>
              <w:rPr>
                <w:rFonts w:hint="eastAsia" w:eastAsia="宋体"/>
                <w:b/>
                <w:bCs/>
                <w:lang w:eastAsia="zh-CN"/>
              </w:rPr>
              <w:t>、</w:t>
            </w:r>
            <w:r>
              <w:rPr>
                <w:rFonts w:hint="eastAsia" w:eastAsia="宋体"/>
                <w:b/>
                <w:bCs/>
                <w:lang w:val="en-US" w:eastAsia="zh-CN"/>
              </w:rPr>
              <w:t>质量和参与积极性</w:t>
            </w:r>
            <w:r>
              <w:rPr>
                <w:rFonts w:hint="eastAsia"/>
                <w:b/>
                <w:bCs/>
              </w:rPr>
              <w:t>明显增加</w:t>
            </w:r>
            <w:r>
              <w:rPr>
                <w:rFonts w:hint="eastAsia"/>
              </w:rPr>
              <w:t>：通过志愿服务平台的引入，短短1个月即吸引了本社区超150名楼宇白领群体成为新志愿者，提升了志愿者队伍整体素质。志愿者参与了垃圾分类值守、文明引导员志愿服务、为老助残志愿服务、社区文化活动支援、政策宣传、AED急救培训志愿服务等活动，这些多元持续的志愿服务，不仅实实在在解决了社区治理中的痛点难点，也进一步激发了居民自我管理、自我服务的热情，形成了共建共治共享的良好社区生态。</w:t>
            </w:r>
          </w:p>
          <w:p w14:paraId="552D210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 w:eastAsia="宋体"/>
                <w:b/>
                <w:bCs/>
                <w:lang w:val="en-US" w:eastAsia="zh-CN"/>
              </w:rPr>
            </w:pPr>
            <w:r>
              <w:rPr>
                <w:rFonts w:hint="eastAsia" w:eastAsia="宋体"/>
                <w:b/>
                <w:bCs/>
                <w:lang w:val="en-US" w:eastAsia="zh-CN"/>
              </w:rPr>
              <w:t>四、公益性与社会价值体现</w:t>
            </w:r>
          </w:p>
          <w:p w14:paraId="759C4A24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基金会在项目中充分发挥公益组织的桥梁作用，其贡献体现在：</w:t>
            </w:r>
          </w:p>
          <w:p w14:paraId="1D0663F3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推动“商业反哺公益”模式，促进社会资源公平分配，惠及社区居民及中小商户。</w:t>
            </w:r>
          </w:p>
          <w:p w14:paraId="22A90A51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社会价值深远：</w:t>
            </w:r>
          </w:p>
          <w:p w14:paraId="50A5D8EF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提升治理效能：通过数字化平台破解传统志愿服务管理难题，实现精准化高效化。</w:t>
            </w:r>
          </w:p>
          <w:p w14:paraId="211821D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激发社会参与：吸引企业、白领、居民等多方主体加入，形成多元共治生态。</w:t>
            </w:r>
          </w:p>
          <w:p w14:paraId="32A7BB5A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促进社区和谐：以志愿服务为载体，增强邻里互动与社区认同感，助力基层稳定。</w:t>
            </w:r>
          </w:p>
          <w:p w14:paraId="0877D080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示范意义：</w:t>
            </w:r>
          </w:p>
          <w:p w14:paraId="5534249C"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textAlignment w:val="baseline"/>
              <w:rPr>
                <w:rFonts w:hint="eastAsia"/>
              </w:rPr>
            </w:pPr>
            <w:r>
              <w:rPr>
                <w:rFonts w:hint="eastAsia"/>
              </w:rPr>
              <w:t>项目模式可复制至其他区域，为全国志愿服务数字化与社区治理创新提供实践样。</w:t>
            </w:r>
          </w:p>
        </w:tc>
      </w:tr>
      <w:tr w14:paraId="7A69D4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90" w:type="dxa"/>
          <w:trHeight w:val="748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 w14:paraId="41EE2E2D">
            <w:pPr>
              <w:pStyle w:val="6"/>
            </w:pPr>
          </w:p>
        </w:tc>
        <w:tc>
          <w:tcPr>
            <w:tcW w:w="1159" w:type="dxa"/>
            <w:gridSpan w:val="4"/>
            <w:vMerge w:val="continue"/>
            <w:tcBorders>
              <w:top w:val="nil"/>
              <w:bottom w:val="nil"/>
            </w:tcBorders>
            <w:vAlign w:val="top"/>
          </w:tcPr>
          <w:p w14:paraId="4B1F119A">
            <w:pPr>
              <w:pStyle w:val="6"/>
            </w:pPr>
          </w:p>
        </w:tc>
        <w:tc>
          <w:tcPr>
            <w:tcW w:w="929" w:type="dxa"/>
            <w:gridSpan w:val="3"/>
            <w:vAlign w:val="top"/>
          </w:tcPr>
          <w:p w14:paraId="68B4A6CC">
            <w:pPr>
              <w:spacing w:before="277" w:line="224" w:lineRule="auto"/>
              <w:ind w:left="23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9"/>
                <w:sz w:val="22"/>
                <w:szCs w:val="22"/>
              </w:rPr>
              <w:t>地点</w:t>
            </w:r>
          </w:p>
        </w:tc>
        <w:tc>
          <w:tcPr>
            <w:tcW w:w="3158" w:type="dxa"/>
            <w:gridSpan w:val="6"/>
            <w:vAlign w:val="top"/>
          </w:tcPr>
          <w:p w14:paraId="147789A8">
            <w:pPr>
              <w:spacing w:before="273" w:line="219" w:lineRule="auto"/>
              <w:ind w:left="135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5"/>
                <w:sz w:val="22"/>
                <w:szCs w:val="22"/>
              </w:rPr>
              <w:t>北京</w:t>
            </w:r>
          </w:p>
        </w:tc>
        <w:tc>
          <w:tcPr>
            <w:tcW w:w="772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05150229">
            <w:pPr>
              <w:pStyle w:val="6"/>
            </w:pPr>
          </w:p>
        </w:tc>
      </w:tr>
      <w:tr w14:paraId="106B6B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90" w:type="dxa"/>
          <w:trHeight w:val="908" w:hRule="atLeast"/>
        </w:trPr>
        <w:tc>
          <w:tcPr>
            <w:tcW w:w="704" w:type="dxa"/>
            <w:vMerge w:val="continue"/>
            <w:tcBorders>
              <w:top w:val="nil"/>
              <w:bottom w:val="nil"/>
            </w:tcBorders>
            <w:vAlign w:val="top"/>
          </w:tcPr>
          <w:p w14:paraId="5A436A7A">
            <w:pPr>
              <w:pStyle w:val="6"/>
            </w:pPr>
          </w:p>
        </w:tc>
        <w:tc>
          <w:tcPr>
            <w:tcW w:w="1159" w:type="dxa"/>
            <w:gridSpan w:val="4"/>
            <w:vMerge w:val="continue"/>
            <w:tcBorders>
              <w:top w:val="nil"/>
              <w:bottom w:val="nil"/>
            </w:tcBorders>
            <w:vAlign w:val="top"/>
          </w:tcPr>
          <w:p w14:paraId="2D8D480C">
            <w:pPr>
              <w:pStyle w:val="6"/>
            </w:pPr>
          </w:p>
        </w:tc>
        <w:tc>
          <w:tcPr>
            <w:tcW w:w="929" w:type="dxa"/>
            <w:gridSpan w:val="3"/>
            <w:vMerge w:val="restart"/>
            <w:tcBorders>
              <w:bottom w:val="nil"/>
            </w:tcBorders>
            <w:vAlign w:val="top"/>
          </w:tcPr>
          <w:p w14:paraId="2BF3C834">
            <w:pPr>
              <w:spacing w:before="71" w:line="220" w:lineRule="auto"/>
              <w:ind w:left="12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支出金</w:t>
            </w:r>
          </w:p>
          <w:p w14:paraId="0FD7CB71">
            <w:pPr>
              <w:spacing w:before="57" w:line="219" w:lineRule="auto"/>
              <w:ind w:left="341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额</w:t>
            </w:r>
          </w:p>
        </w:tc>
        <w:tc>
          <w:tcPr>
            <w:tcW w:w="1439" w:type="dxa"/>
            <w:gridSpan w:val="2"/>
            <w:vMerge w:val="restart"/>
            <w:tcBorders>
              <w:bottom w:val="nil"/>
            </w:tcBorders>
            <w:vAlign w:val="top"/>
          </w:tcPr>
          <w:p w14:paraId="30D83D66">
            <w:pPr>
              <w:spacing w:before="71" w:line="216" w:lineRule="auto"/>
              <w:ind w:left="62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100,383.65</w:t>
            </w:r>
          </w:p>
        </w:tc>
        <w:tc>
          <w:tcPr>
            <w:tcW w:w="1719" w:type="dxa"/>
            <w:gridSpan w:val="4"/>
            <w:vAlign w:val="top"/>
          </w:tcPr>
          <w:p w14:paraId="149229E3">
            <w:pPr>
              <w:spacing w:before="53" w:line="259" w:lineRule="auto"/>
              <w:ind w:left="63" w:right="325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</w:rPr>
              <w:t>其中货币性：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100,383.65</w:t>
            </w:r>
          </w:p>
        </w:tc>
        <w:tc>
          <w:tcPr>
            <w:tcW w:w="772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5325C075">
            <w:pPr>
              <w:pStyle w:val="6"/>
            </w:pPr>
          </w:p>
        </w:tc>
      </w:tr>
      <w:tr w14:paraId="1373E5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2"/>
          <w:wAfter w:w="290" w:type="dxa"/>
          <w:trHeight w:val="853" w:hRule="atLeast"/>
        </w:trPr>
        <w:tc>
          <w:tcPr>
            <w:tcW w:w="704" w:type="dxa"/>
            <w:vMerge w:val="continue"/>
            <w:tcBorders>
              <w:top w:val="nil"/>
            </w:tcBorders>
            <w:vAlign w:val="top"/>
          </w:tcPr>
          <w:p w14:paraId="340D225B">
            <w:pPr>
              <w:pStyle w:val="6"/>
            </w:pPr>
          </w:p>
        </w:tc>
        <w:tc>
          <w:tcPr>
            <w:tcW w:w="1159" w:type="dxa"/>
            <w:gridSpan w:val="4"/>
            <w:vMerge w:val="continue"/>
            <w:tcBorders>
              <w:top w:val="nil"/>
            </w:tcBorders>
            <w:vAlign w:val="top"/>
          </w:tcPr>
          <w:p w14:paraId="45873092">
            <w:pPr>
              <w:pStyle w:val="6"/>
            </w:pPr>
          </w:p>
        </w:tc>
        <w:tc>
          <w:tcPr>
            <w:tcW w:w="929" w:type="dxa"/>
            <w:gridSpan w:val="3"/>
            <w:vMerge w:val="continue"/>
            <w:tcBorders>
              <w:top w:val="nil"/>
            </w:tcBorders>
            <w:vAlign w:val="top"/>
          </w:tcPr>
          <w:p w14:paraId="54E24818">
            <w:pPr>
              <w:pStyle w:val="6"/>
            </w:pPr>
          </w:p>
        </w:tc>
        <w:tc>
          <w:tcPr>
            <w:tcW w:w="1439" w:type="dxa"/>
            <w:gridSpan w:val="2"/>
            <w:vMerge w:val="continue"/>
            <w:tcBorders>
              <w:top w:val="nil"/>
            </w:tcBorders>
            <w:vAlign w:val="top"/>
          </w:tcPr>
          <w:p w14:paraId="61AABACE">
            <w:pPr>
              <w:pStyle w:val="6"/>
            </w:pPr>
          </w:p>
        </w:tc>
        <w:tc>
          <w:tcPr>
            <w:tcW w:w="1719" w:type="dxa"/>
            <w:gridSpan w:val="4"/>
            <w:vAlign w:val="top"/>
          </w:tcPr>
          <w:p w14:paraId="16C4E5B7">
            <w:pPr>
              <w:spacing w:before="45" w:line="219" w:lineRule="auto"/>
              <w:ind w:left="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z w:val="22"/>
                <w:szCs w:val="22"/>
              </w:rPr>
              <w:t>其中非货币性：</w:t>
            </w:r>
          </w:p>
          <w:p w14:paraId="434B2CDF">
            <w:pPr>
              <w:spacing w:before="92" w:line="239" w:lineRule="auto"/>
              <w:ind w:left="63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0.00</w:t>
            </w:r>
          </w:p>
        </w:tc>
        <w:tc>
          <w:tcPr>
            <w:tcW w:w="7720" w:type="dxa"/>
            <w:gridSpan w:val="3"/>
            <w:vMerge w:val="continue"/>
            <w:tcBorders>
              <w:top w:val="nil"/>
            </w:tcBorders>
            <w:vAlign w:val="top"/>
          </w:tcPr>
          <w:p w14:paraId="3D027502">
            <w:pPr>
              <w:pStyle w:val="6"/>
            </w:pPr>
          </w:p>
        </w:tc>
      </w:tr>
      <w:tr w14:paraId="4782C1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724" w:type="dxa"/>
            <w:gridSpan w:val="3"/>
            <w:vMerge w:val="restart"/>
            <w:tcBorders>
              <w:bottom w:val="nil"/>
            </w:tcBorders>
            <w:vAlign w:val="top"/>
          </w:tcPr>
          <w:p w14:paraId="598FB363">
            <w:pPr>
              <w:spacing w:before="65" w:line="241" w:lineRule="auto"/>
              <w:ind w:left="3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149" w:type="dxa"/>
            <w:gridSpan w:val="3"/>
            <w:vMerge w:val="restart"/>
            <w:tcBorders>
              <w:bottom w:val="nil"/>
            </w:tcBorders>
            <w:vAlign w:val="top"/>
          </w:tcPr>
          <w:p w14:paraId="061CEC04">
            <w:pPr>
              <w:pStyle w:val="6"/>
              <w:spacing w:line="243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</w:rPr>
              <w:t>“建外红”志愿服务品牌项目</w:t>
            </w:r>
            <w:r>
              <w:rPr>
                <w:rFonts w:hint="eastAsia" w:eastAsia="宋体"/>
                <w:lang w:eastAsia="zh-CN"/>
              </w:rPr>
              <w:t>——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公益时长预存及结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算(八里庄</w:t>
            </w:r>
            <w:r>
              <w:rPr>
                <w:rFonts w:ascii="宋体" w:hAnsi="宋体" w:eastAsia="宋体" w:cs="宋体"/>
                <w:spacing w:val="14"/>
                <w:sz w:val="20"/>
                <w:szCs w:val="20"/>
              </w:rPr>
              <w:t>街道</w:t>
            </w:r>
            <w:r>
              <w:rPr>
                <w:rFonts w:hint="eastAsia" w:ascii="宋体" w:hAnsi="宋体" w:eastAsia="宋体" w:cs="宋体"/>
                <w:spacing w:val="14"/>
                <w:sz w:val="20"/>
                <w:szCs w:val="20"/>
                <w:lang w:eastAsia="zh-CN"/>
              </w:rPr>
              <w:t>）</w:t>
            </w:r>
          </w:p>
        </w:tc>
        <w:tc>
          <w:tcPr>
            <w:tcW w:w="939" w:type="dxa"/>
            <w:gridSpan w:val="3"/>
            <w:vAlign w:val="top"/>
          </w:tcPr>
          <w:p w14:paraId="0492B72B">
            <w:pPr>
              <w:spacing w:before="226" w:line="221" w:lineRule="auto"/>
              <w:ind w:left="2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时间</w:t>
            </w:r>
          </w:p>
        </w:tc>
        <w:tc>
          <w:tcPr>
            <w:tcW w:w="3208" w:type="dxa"/>
            <w:gridSpan w:val="7"/>
            <w:vAlign w:val="top"/>
          </w:tcPr>
          <w:p w14:paraId="031D4348">
            <w:pPr>
              <w:spacing w:before="43" w:line="268" w:lineRule="auto"/>
              <w:ind w:left="1192" w:right="132" w:hanging="105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2024年1月1日至2</w:t>
            </w:r>
            <w:r>
              <w:rPr>
                <w:rFonts w:hint="eastAsia" w:ascii="宋体" w:hAnsi="宋体" w:eastAsia="宋体" w:cs="宋体"/>
                <w:spacing w:val="-14"/>
                <w:sz w:val="20"/>
                <w:szCs w:val="20"/>
                <w:lang w:val="en-US" w:eastAsia="zh-CN"/>
              </w:rPr>
              <w:t>0</w:t>
            </w:r>
            <w:r>
              <w:rPr>
                <w:rFonts w:ascii="宋体" w:hAnsi="宋体" w:eastAsia="宋体" w:cs="宋体"/>
                <w:spacing w:val="-14"/>
                <w:sz w:val="20"/>
                <w:szCs w:val="20"/>
              </w:rPr>
              <w:t>24年12</w:t>
            </w:r>
            <w:r>
              <w:rPr>
                <w:rFonts w:ascii="宋体" w:hAnsi="宋体" w:eastAsia="宋体" w:cs="宋体"/>
                <w:spacing w:val="-11"/>
                <w:sz w:val="20"/>
                <w:szCs w:val="20"/>
              </w:rPr>
              <w:t>月31日</w:t>
            </w:r>
          </w:p>
        </w:tc>
        <w:tc>
          <w:tcPr>
            <w:tcW w:w="7940" w:type="dxa"/>
            <w:gridSpan w:val="3"/>
            <w:vMerge w:val="restart"/>
            <w:tcBorders>
              <w:bottom w:val="nil"/>
            </w:tcBorders>
            <w:vAlign w:val="top"/>
          </w:tcPr>
          <w:p w14:paraId="33A0A21A">
            <w:pPr>
              <w:spacing w:before="50" w:line="222" w:lineRule="auto"/>
              <w:ind w:left="7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一、项目背景和基金会所做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工作内容</w:t>
            </w:r>
          </w:p>
          <w:p w14:paraId="4E017A19">
            <w:pPr>
              <w:spacing w:before="50" w:line="222" w:lineRule="auto"/>
              <w:ind w:left="74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本项目隶属于“建外红”志愿服务品牌项目，通过“建外红”志愿服务平台为志愿者提供积分兑换服务。志愿者可利用志愿时长兑换辖区内公益商户的服务（包括商超、餐饮、便民服务等）。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北京济康公益基金会（原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北京一刻公益基金会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根据实际换购情况，为公益商户进行资金结算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形成了公益反哺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。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在项目开展过程中，同时组织了AED急救公益培训、送“福”到家公益活动、开展倡导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双向服务模式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的宣传活动。</w:t>
            </w:r>
          </w:p>
          <w:p w14:paraId="268FEA21">
            <w:pPr>
              <w:spacing w:before="50" w:line="222" w:lineRule="auto"/>
              <w:ind w:left="74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二、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公益成果</w:t>
            </w:r>
          </w:p>
          <w:p w14:paraId="43BB5AAC">
            <w:pPr>
              <w:spacing w:before="50" w:line="222" w:lineRule="auto"/>
              <w:ind w:left="7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问题解决：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针对社区志愿服务中存在的“组织弱化、资源碎片化”问题，本项目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通过对志愿者的志愿服务时长进行公益资源兑换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，整合社会资源，提升服务的系统性，有效增强居民的归属感和自治意识。</w:t>
            </w:r>
          </w:p>
          <w:p w14:paraId="3B5FBC4A">
            <w:pPr>
              <w:spacing w:before="50" w:line="222" w:lineRule="auto"/>
              <w:ind w:left="74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长效发展：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建立志愿服务时长预存与结算机制，确保志愿服务的可持续性。</w:t>
            </w:r>
          </w:p>
          <w:p w14:paraId="67F2E535">
            <w:pPr>
              <w:spacing w:before="50" w:line="222" w:lineRule="auto"/>
              <w:ind w:left="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项目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成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果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：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项目覆盖八里庄街道16个社区的党员、入党积极分子及志愿者等群体。社区公益活动频繁开展，居民归属感显著提升；志愿者数量持续增加，社会动员能力得到加强；通过双向服务模式，即在志愿者对困难人群进行帮扶的同时，也适时引导被帮扶人群进行反哺，形成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志愿者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与困难人群的双向奔赴。汇聚资源，社区服务水平明显提高；社会组织作用得到充分发挥。</w:t>
            </w:r>
          </w:p>
        </w:tc>
      </w:tr>
      <w:tr w14:paraId="2A1CDD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2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75DE2F9F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3EC98C91">
            <w:pPr>
              <w:pStyle w:val="6"/>
            </w:pPr>
          </w:p>
        </w:tc>
        <w:tc>
          <w:tcPr>
            <w:tcW w:w="939" w:type="dxa"/>
            <w:gridSpan w:val="3"/>
            <w:vAlign w:val="top"/>
          </w:tcPr>
          <w:p w14:paraId="28A785B8">
            <w:pPr>
              <w:spacing w:before="283" w:line="224" w:lineRule="auto"/>
              <w:ind w:left="2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地点</w:t>
            </w:r>
          </w:p>
        </w:tc>
        <w:tc>
          <w:tcPr>
            <w:tcW w:w="3208" w:type="dxa"/>
            <w:gridSpan w:val="7"/>
            <w:vAlign w:val="top"/>
          </w:tcPr>
          <w:p w14:paraId="202D725B">
            <w:pPr>
              <w:spacing w:before="279" w:line="219" w:lineRule="auto"/>
              <w:ind w:left="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北京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736FA68F">
            <w:pPr>
              <w:pStyle w:val="6"/>
            </w:pPr>
          </w:p>
        </w:tc>
      </w:tr>
      <w:tr w14:paraId="236435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72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0721D9BC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4AA8FCAD">
            <w:pPr>
              <w:pStyle w:val="6"/>
            </w:pPr>
          </w:p>
        </w:tc>
        <w:tc>
          <w:tcPr>
            <w:tcW w:w="939" w:type="dxa"/>
            <w:gridSpan w:val="3"/>
            <w:vMerge w:val="restart"/>
            <w:tcBorders>
              <w:bottom w:val="nil"/>
            </w:tcBorders>
            <w:vAlign w:val="top"/>
          </w:tcPr>
          <w:p w14:paraId="511C7ED5">
            <w:pPr>
              <w:spacing w:before="65" w:line="220" w:lineRule="auto"/>
              <w:ind w:left="1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支出金</w:t>
            </w:r>
          </w:p>
          <w:p w14:paraId="7053FA6F">
            <w:pPr>
              <w:spacing w:before="51" w:line="219" w:lineRule="auto"/>
              <w:ind w:left="3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额</w:t>
            </w:r>
          </w:p>
        </w:tc>
        <w:tc>
          <w:tcPr>
            <w:tcW w:w="1499" w:type="dxa"/>
            <w:gridSpan w:val="2"/>
            <w:vMerge w:val="restart"/>
            <w:tcBorders>
              <w:bottom w:val="nil"/>
            </w:tcBorders>
            <w:vAlign w:val="top"/>
          </w:tcPr>
          <w:p w14:paraId="4123288E">
            <w:pPr>
              <w:spacing w:before="65" w:line="216" w:lineRule="auto"/>
              <w:ind w:left="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224,904.08</w:t>
            </w:r>
          </w:p>
        </w:tc>
        <w:tc>
          <w:tcPr>
            <w:tcW w:w="1709" w:type="dxa"/>
            <w:gridSpan w:val="5"/>
            <w:vAlign w:val="top"/>
          </w:tcPr>
          <w:p w14:paraId="126E2B31">
            <w:pPr>
              <w:spacing w:before="20" w:line="312" w:lineRule="auto"/>
              <w:ind w:left="83" w:right="85" w:firstLine="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1"/>
                <w:sz w:val="20"/>
                <w:szCs w:val="20"/>
              </w:rPr>
              <w:t>其中货币性：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224,904.08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38ADBDDA">
            <w:pPr>
              <w:pStyle w:val="6"/>
            </w:pPr>
          </w:p>
        </w:tc>
      </w:tr>
      <w:tr w14:paraId="2E5DFE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8" w:hRule="atLeast"/>
        </w:trPr>
        <w:tc>
          <w:tcPr>
            <w:tcW w:w="724" w:type="dxa"/>
            <w:gridSpan w:val="3"/>
            <w:vMerge w:val="continue"/>
            <w:tcBorders>
              <w:top w:val="nil"/>
            </w:tcBorders>
            <w:vAlign w:val="top"/>
          </w:tcPr>
          <w:p w14:paraId="6BC71CFE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</w:tcBorders>
            <w:vAlign w:val="top"/>
          </w:tcPr>
          <w:p w14:paraId="0BD3C457">
            <w:pPr>
              <w:pStyle w:val="6"/>
            </w:pPr>
          </w:p>
        </w:tc>
        <w:tc>
          <w:tcPr>
            <w:tcW w:w="939" w:type="dxa"/>
            <w:gridSpan w:val="3"/>
            <w:vMerge w:val="continue"/>
            <w:tcBorders>
              <w:top w:val="nil"/>
            </w:tcBorders>
            <w:vAlign w:val="top"/>
          </w:tcPr>
          <w:p w14:paraId="1AF1FCD1">
            <w:pPr>
              <w:pStyle w:val="6"/>
            </w:pPr>
          </w:p>
        </w:tc>
        <w:tc>
          <w:tcPr>
            <w:tcW w:w="1499" w:type="dxa"/>
            <w:gridSpan w:val="2"/>
            <w:vMerge w:val="continue"/>
            <w:tcBorders>
              <w:top w:val="nil"/>
            </w:tcBorders>
            <w:vAlign w:val="top"/>
          </w:tcPr>
          <w:p w14:paraId="3B0C8134">
            <w:pPr>
              <w:pStyle w:val="6"/>
            </w:pPr>
          </w:p>
        </w:tc>
        <w:tc>
          <w:tcPr>
            <w:tcW w:w="1709" w:type="dxa"/>
            <w:gridSpan w:val="5"/>
            <w:vAlign w:val="top"/>
          </w:tcPr>
          <w:p w14:paraId="6456F006">
            <w:pPr>
              <w:spacing w:before="29" w:line="219" w:lineRule="auto"/>
              <w:ind w:left="9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其中非货币性：</w:t>
            </w:r>
          </w:p>
          <w:p w14:paraId="6D02A191">
            <w:pPr>
              <w:spacing w:before="103" w:line="239" w:lineRule="auto"/>
              <w:ind w:left="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0.00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</w:tcBorders>
            <w:vAlign w:val="top"/>
          </w:tcPr>
          <w:p w14:paraId="5FDAFEAE">
            <w:pPr>
              <w:pStyle w:val="6"/>
            </w:pPr>
          </w:p>
        </w:tc>
      </w:tr>
      <w:tr w14:paraId="147358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724" w:type="dxa"/>
            <w:gridSpan w:val="3"/>
            <w:vMerge w:val="restart"/>
            <w:tcBorders>
              <w:bottom w:val="nil"/>
            </w:tcBorders>
            <w:vAlign w:val="top"/>
          </w:tcPr>
          <w:p w14:paraId="12DEA155">
            <w:pPr>
              <w:spacing w:before="65"/>
              <w:ind w:left="3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1149" w:type="dxa"/>
            <w:gridSpan w:val="3"/>
            <w:vMerge w:val="restart"/>
            <w:tcBorders>
              <w:bottom w:val="nil"/>
            </w:tcBorders>
            <w:vAlign w:val="top"/>
          </w:tcPr>
          <w:p w14:paraId="077EB8E0">
            <w:pPr>
              <w:spacing w:before="65" w:line="293" w:lineRule="auto"/>
              <w:ind w:left="160" w:right="164"/>
              <w:jc w:val="both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建外红志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愿服务平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台“公益</w:t>
            </w:r>
          </w:p>
          <w:p w14:paraId="240DE67B">
            <w:pPr>
              <w:spacing w:before="1" w:line="277" w:lineRule="auto"/>
              <w:ind w:left="459" w:right="166" w:hanging="29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时长”结</w:t>
            </w:r>
            <w:r>
              <w:rPr>
                <w:rFonts w:ascii="宋体" w:hAnsi="宋体" w:eastAsia="宋体" w:cs="宋体"/>
                <w:sz w:val="20"/>
                <w:szCs w:val="20"/>
              </w:rPr>
              <w:t>算</w:t>
            </w:r>
          </w:p>
        </w:tc>
        <w:tc>
          <w:tcPr>
            <w:tcW w:w="939" w:type="dxa"/>
            <w:gridSpan w:val="3"/>
            <w:vAlign w:val="top"/>
          </w:tcPr>
          <w:p w14:paraId="2526062B">
            <w:pPr>
              <w:spacing w:before="215" w:line="221" w:lineRule="auto"/>
              <w:ind w:left="2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时间</w:t>
            </w:r>
          </w:p>
        </w:tc>
        <w:tc>
          <w:tcPr>
            <w:tcW w:w="3208" w:type="dxa"/>
            <w:gridSpan w:val="7"/>
            <w:vAlign w:val="top"/>
          </w:tcPr>
          <w:p w14:paraId="348D0073">
            <w:pPr>
              <w:spacing w:before="62" w:line="248" w:lineRule="auto"/>
              <w:ind w:left="1191" w:right="62" w:hanging="11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13"/>
                <w:sz w:val="20"/>
                <w:szCs w:val="20"/>
                <w:lang w:val="en-US" w:eastAsia="zh-CN"/>
              </w:rPr>
              <w:t>2024</w:t>
            </w:r>
            <w:r>
              <w:rPr>
                <w:rFonts w:ascii="宋体" w:hAnsi="宋体" w:eastAsia="宋体" w:cs="宋体"/>
                <w:spacing w:val="-13"/>
                <w:sz w:val="20"/>
                <w:szCs w:val="20"/>
              </w:rPr>
              <w:t>年6月15日至2024年12</w:t>
            </w:r>
            <w:r>
              <w:rPr>
                <w:rFonts w:ascii="宋体" w:hAnsi="宋体" w:eastAsia="宋体" w:cs="宋体"/>
                <w:spacing w:val="-11"/>
                <w:sz w:val="20"/>
                <w:szCs w:val="20"/>
              </w:rPr>
              <w:t>月31日</w:t>
            </w:r>
          </w:p>
        </w:tc>
        <w:tc>
          <w:tcPr>
            <w:tcW w:w="7940" w:type="dxa"/>
            <w:gridSpan w:val="3"/>
            <w:vMerge w:val="restart"/>
            <w:tcBorders>
              <w:bottom w:val="nil"/>
            </w:tcBorders>
            <w:vAlign w:val="top"/>
          </w:tcPr>
          <w:p w14:paraId="5993A8BD">
            <w:pPr>
              <w:spacing w:before="50" w:line="222" w:lineRule="auto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项目背景和基金会所做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工作内容</w:t>
            </w:r>
          </w:p>
          <w:p w14:paraId="1FD1003C">
            <w:pPr>
              <w:spacing w:before="50" w:line="222" w:lineRule="auto"/>
              <w:ind w:left="7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本项目隶属于“建外红”志愿服务品牌项目，通过“建外红”志愿服务平台为志愿者提供积分兑换服务。志愿者可利用志愿时长兑换辖区内公益商户的服务（包括商超、餐饮、便民服务等）。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北京济康公益基金会（原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北京一刻公益基金会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根据实际换购情况，为公益商户进行资金结算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形成了公益反哺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。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在项目开展过程中，同时在社区组织了AED急救公益培训、送”福”到家公益活动、开展倡导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双向服务模式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的宣传活动。</w:t>
            </w:r>
          </w:p>
        </w:tc>
      </w:tr>
      <w:tr w14:paraId="2CC26C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1" w:hRule="atLeast"/>
        </w:trPr>
        <w:tc>
          <w:tcPr>
            <w:tcW w:w="72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2617B9DC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2BBEB3D4">
            <w:pPr>
              <w:pStyle w:val="6"/>
            </w:pPr>
          </w:p>
        </w:tc>
        <w:tc>
          <w:tcPr>
            <w:tcW w:w="939" w:type="dxa"/>
            <w:gridSpan w:val="3"/>
            <w:vAlign w:val="top"/>
          </w:tcPr>
          <w:p w14:paraId="14BC5631">
            <w:pPr>
              <w:spacing w:before="65" w:line="224" w:lineRule="auto"/>
              <w:ind w:left="2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地点</w:t>
            </w:r>
          </w:p>
        </w:tc>
        <w:tc>
          <w:tcPr>
            <w:tcW w:w="3208" w:type="dxa"/>
            <w:gridSpan w:val="7"/>
            <w:vAlign w:val="top"/>
          </w:tcPr>
          <w:p w14:paraId="6CFF903D">
            <w:pPr>
              <w:spacing w:before="65" w:line="219" w:lineRule="auto"/>
              <w:ind w:left="13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北京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2335C09B">
            <w:pPr>
              <w:pStyle w:val="6"/>
            </w:pPr>
          </w:p>
        </w:tc>
      </w:tr>
      <w:tr w14:paraId="2ABA5A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72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1A832A60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23F742CB">
            <w:pPr>
              <w:pStyle w:val="6"/>
            </w:pPr>
          </w:p>
        </w:tc>
        <w:tc>
          <w:tcPr>
            <w:tcW w:w="939" w:type="dxa"/>
            <w:gridSpan w:val="3"/>
            <w:vMerge w:val="restart"/>
            <w:tcBorders>
              <w:bottom w:val="nil"/>
            </w:tcBorders>
            <w:vAlign w:val="top"/>
          </w:tcPr>
          <w:p w14:paraId="753C04F4">
            <w:pPr>
              <w:spacing w:before="65" w:line="220" w:lineRule="auto"/>
              <w:ind w:left="1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支出金</w:t>
            </w:r>
          </w:p>
          <w:p w14:paraId="52782010">
            <w:pPr>
              <w:spacing w:before="81" w:line="219" w:lineRule="auto"/>
              <w:ind w:left="36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额</w:t>
            </w:r>
          </w:p>
        </w:tc>
        <w:tc>
          <w:tcPr>
            <w:tcW w:w="1499" w:type="dxa"/>
            <w:gridSpan w:val="2"/>
            <w:vMerge w:val="restart"/>
            <w:tcBorders>
              <w:bottom w:val="nil"/>
            </w:tcBorders>
            <w:vAlign w:val="top"/>
          </w:tcPr>
          <w:p w14:paraId="2640F395">
            <w:pPr>
              <w:spacing w:before="65" w:line="216" w:lineRule="auto"/>
              <w:ind w:left="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176,633.38</w:t>
            </w:r>
          </w:p>
        </w:tc>
        <w:tc>
          <w:tcPr>
            <w:tcW w:w="1709" w:type="dxa"/>
            <w:gridSpan w:val="5"/>
            <w:vAlign w:val="top"/>
          </w:tcPr>
          <w:p w14:paraId="1387D2FF">
            <w:pPr>
              <w:spacing w:before="53" w:line="298" w:lineRule="auto"/>
              <w:ind w:left="83" w:right="85" w:firstLine="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1"/>
                <w:sz w:val="20"/>
                <w:szCs w:val="20"/>
              </w:rPr>
              <w:t>其中货币性：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176,633.38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4B82638A">
            <w:pPr>
              <w:pStyle w:val="6"/>
            </w:pPr>
          </w:p>
        </w:tc>
      </w:tr>
      <w:tr w14:paraId="0B85FB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</w:trPr>
        <w:tc>
          <w:tcPr>
            <w:tcW w:w="724" w:type="dxa"/>
            <w:gridSpan w:val="3"/>
            <w:vMerge w:val="continue"/>
            <w:tcBorders>
              <w:top w:val="nil"/>
            </w:tcBorders>
            <w:vAlign w:val="top"/>
          </w:tcPr>
          <w:p w14:paraId="5C467621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</w:tcBorders>
            <w:vAlign w:val="top"/>
          </w:tcPr>
          <w:p w14:paraId="46C2B6B0">
            <w:pPr>
              <w:pStyle w:val="6"/>
            </w:pPr>
          </w:p>
        </w:tc>
        <w:tc>
          <w:tcPr>
            <w:tcW w:w="939" w:type="dxa"/>
            <w:gridSpan w:val="3"/>
            <w:vMerge w:val="continue"/>
            <w:tcBorders>
              <w:top w:val="nil"/>
            </w:tcBorders>
            <w:vAlign w:val="top"/>
          </w:tcPr>
          <w:p w14:paraId="52A204CD">
            <w:pPr>
              <w:pStyle w:val="6"/>
            </w:pPr>
          </w:p>
        </w:tc>
        <w:tc>
          <w:tcPr>
            <w:tcW w:w="1499" w:type="dxa"/>
            <w:gridSpan w:val="2"/>
            <w:vMerge w:val="continue"/>
            <w:tcBorders>
              <w:top w:val="nil"/>
            </w:tcBorders>
            <w:vAlign w:val="top"/>
          </w:tcPr>
          <w:p w14:paraId="065C4494">
            <w:pPr>
              <w:pStyle w:val="6"/>
            </w:pPr>
          </w:p>
        </w:tc>
        <w:tc>
          <w:tcPr>
            <w:tcW w:w="1709" w:type="dxa"/>
            <w:gridSpan w:val="5"/>
            <w:vAlign w:val="top"/>
          </w:tcPr>
          <w:p w14:paraId="5807B306">
            <w:pPr>
              <w:spacing w:before="43" w:line="219" w:lineRule="auto"/>
              <w:ind w:left="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其中非货币性：</w:t>
            </w:r>
          </w:p>
          <w:p w14:paraId="7667F23E">
            <w:pPr>
              <w:spacing w:before="123" w:line="239" w:lineRule="auto"/>
              <w:ind w:left="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0.00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</w:tcBorders>
            <w:vAlign w:val="top"/>
          </w:tcPr>
          <w:p w14:paraId="08A936A5">
            <w:pPr>
              <w:pStyle w:val="6"/>
            </w:pPr>
          </w:p>
        </w:tc>
      </w:tr>
      <w:tr w14:paraId="1BA22A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4" w:type="dxa"/>
            <w:gridSpan w:val="3"/>
            <w:vMerge w:val="restart"/>
            <w:tcBorders>
              <w:bottom w:val="nil"/>
            </w:tcBorders>
            <w:vAlign w:val="top"/>
          </w:tcPr>
          <w:p w14:paraId="1326C9FF">
            <w:pPr>
              <w:spacing w:before="65" w:line="241" w:lineRule="auto"/>
              <w:ind w:left="30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4</w:t>
            </w:r>
          </w:p>
        </w:tc>
        <w:tc>
          <w:tcPr>
            <w:tcW w:w="1149" w:type="dxa"/>
            <w:gridSpan w:val="3"/>
            <w:vMerge w:val="restart"/>
            <w:tcBorders>
              <w:bottom w:val="nil"/>
            </w:tcBorders>
            <w:vAlign w:val="top"/>
          </w:tcPr>
          <w:p w14:paraId="3BE55860">
            <w:pPr>
              <w:spacing w:before="125" w:line="219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亚运村街</w:t>
            </w:r>
          </w:p>
          <w:p w14:paraId="6CDA95D5">
            <w:pPr>
              <w:spacing w:before="65" w:line="221" w:lineRule="auto"/>
              <w:ind w:left="16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道志愿服</w:t>
            </w:r>
          </w:p>
          <w:p w14:paraId="4AE30102">
            <w:pPr>
              <w:spacing w:before="88" w:line="285" w:lineRule="auto"/>
              <w:ind w:left="260" w:right="187" w:hanging="10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务体系建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设项目</w:t>
            </w:r>
          </w:p>
        </w:tc>
        <w:tc>
          <w:tcPr>
            <w:tcW w:w="939" w:type="dxa"/>
            <w:gridSpan w:val="3"/>
            <w:vAlign w:val="top"/>
          </w:tcPr>
          <w:p w14:paraId="50019526">
            <w:pPr>
              <w:spacing w:before="228" w:line="221" w:lineRule="auto"/>
              <w:ind w:left="2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时间</w:t>
            </w:r>
          </w:p>
        </w:tc>
        <w:tc>
          <w:tcPr>
            <w:tcW w:w="3208" w:type="dxa"/>
            <w:gridSpan w:val="7"/>
            <w:vAlign w:val="top"/>
          </w:tcPr>
          <w:p w14:paraId="7BDB6BF2">
            <w:pPr>
              <w:spacing w:before="62" w:line="248" w:lineRule="auto"/>
              <w:ind w:left="1191" w:right="62" w:hanging="112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pacing w:val="-13"/>
                <w:sz w:val="20"/>
                <w:szCs w:val="20"/>
                <w:lang w:val="en-US" w:eastAsia="zh-CN"/>
              </w:rPr>
              <w:t>2024年6月15日至2024年12月31日</w:t>
            </w:r>
          </w:p>
        </w:tc>
        <w:tc>
          <w:tcPr>
            <w:tcW w:w="7940" w:type="dxa"/>
            <w:gridSpan w:val="3"/>
            <w:vMerge w:val="restart"/>
            <w:tcBorders>
              <w:bottom w:val="nil"/>
            </w:tcBorders>
            <w:vAlign w:val="top"/>
          </w:tcPr>
          <w:p w14:paraId="44BDE5F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一、项目背景</w:t>
            </w:r>
          </w:p>
          <w:p w14:paraId="60A22B0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为提升社区志愿服务水平、推动社区与企业联动，并增强居民的参与感和归属感，北京市朝阳区人民政府亚运村街道办事处与北京济康公益基金会（原名：北京一刻公益基金会）于2024年6月15日至2024年12月31日期间，组织实施了亚运村街道志愿服务体系优化项目。该项目面向辖区内的社区居民、企业白领、志愿者及社会单位等多类群体，旨在构建更加规范、高效且可持续的志愿服务生态。</w:t>
            </w:r>
          </w:p>
          <w:p w14:paraId="7F05880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二、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基金会</w:t>
            </w: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所做工作</w:t>
            </w:r>
          </w:p>
          <w:p w14:paraId="732F6D8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1）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提供“一刻公益”志愿服务平台及相关系统支持，涵盖分析决策系统、商户结算管理系统和志愿者用户微信平台，为志愿服务奠定坚实的数字化管理基础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；</w:t>
            </w:r>
          </w:p>
          <w:p w14:paraId="36F4F35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2）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开展社工平台应用培训，提供社区问题咨询解答服务，协助志愿者完成信息登记、微信绑定及积分兑换培训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；</w:t>
            </w:r>
          </w:p>
          <w:p w14:paraId="1AA44A7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3）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协助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拓展并签约公益服务商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；</w:t>
            </w:r>
          </w:p>
          <w:p w14:paraId="1BF0184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4）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持续进行系统维护与日常运营，确保项目顺利落地并长效运转</w:t>
            </w: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；</w:t>
            </w:r>
          </w:p>
          <w:p w14:paraId="3B2F5C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textAlignment w:val="baseline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5）开展AED急救公益培训、为社区老人送“福”到家公益活动等。</w:t>
            </w:r>
          </w:p>
          <w:p w14:paraId="0B0EF7B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三、公益成果</w:t>
            </w:r>
          </w:p>
          <w:p w14:paraId="06F758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1）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实现志愿服务体系规范化、系统化升级，显著提升了社区志愿服务的整体水平和工作效率。</w:t>
            </w:r>
          </w:p>
          <w:p w14:paraId="326E86B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2）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有效促进企社联动，企业员工积极参与志愿服务，推动资源共享与精准服务供给，惠及更多社区居民。</w:t>
            </w:r>
          </w:p>
          <w:p w14:paraId="196642F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3）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居民参与志愿服务的积极性和活跃度大幅提升，通过主题活动和宣传招募，志愿队伍持续扩大。</w:t>
            </w:r>
          </w:p>
          <w:p w14:paraId="742839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tLeast"/>
              <w:ind w:left="0"/>
              <w:jc w:val="both"/>
              <w:textAlignment w:val="baseline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  <w:lang w:eastAsia="zh-CN"/>
              </w:rPr>
              <w:t>4）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居民社区归属感和认同感明显增强，常态化志愿服务机制促进了和谐社区氛围的形成。</w:t>
            </w:r>
          </w:p>
        </w:tc>
      </w:tr>
      <w:tr w14:paraId="67A91D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724" w:type="dxa"/>
            <w:gridSpan w:val="3"/>
            <w:vMerge w:val="continue"/>
            <w:tcBorders>
              <w:top w:val="nil"/>
            </w:tcBorders>
            <w:vAlign w:val="top"/>
          </w:tcPr>
          <w:p w14:paraId="5F38D4EA">
            <w:pPr>
              <w:pStyle w:val="6"/>
            </w:pPr>
          </w:p>
        </w:tc>
        <w:tc>
          <w:tcPr>
            <w:tcW w:w="1149" w:type="dxa"/>
            <w:gridSpan w:val="3"/>
            <w:vMerge w:val="continue"/>
            <w:tcBorders>
              <w:top w:val="nil"/>
            </w:tcBorders>
            <w:vAlign w:val="top"/>
          </w:tcPr>
          <w:p w14:paraId="01BAC52F">
            <w:pPr>
              <w:pStyle w:val="6"/>
            </w:pPr>
          </w:p>
        </w:tc>
        <w:tc>
          <w:tcPr>
            <w:tcW w:w="939" w:type="dxa"/>
            <w:gridSpan w:val="3"/>
            <w:vAlign w:val="top"/>
          </w:tcPr>
          <w:p w14:paraId="638E619C">
            <w:pPr>
              <w:spacing w:before="281" w:line="224" w:lineRule="auto"/>
              <w:ind w:left="26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>地点</w:t>
            </w:r>
          </w:p>
        </w:tc>
        <w:tc>
          <w:tcPr>
            <w:tcW w:w="3208" w:type="dxa"/>
            <w:gridSpan w:val="7"/>
            <w:vAlign w:val="top"/>
          </w:tcPr>
          <w:p w14:paraId="73C6CD34">
            <w:pPr>
              <w:spacing w:before="277" w:line="219" w:lineRule="auto"/>
              <w:ind w:left="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北京</w:t>
            </w:r>
          </w:p>
        </w:tc>
        <w:tc>
          <w:tcPr>
            <w:tcW w:w="7940" w:type="dxa"/>
            <w:gridSpan w:val="3"/>
            <w:vMerge w:val="continue"/>
            <w:tcBorders>
              <w:top w:val="nil"/>
            </w:tcBorders>
            <w:vAlign w:val="top"/>
          </w:tcPr>
          <w:p w14:paraId="6FD8CDD9">
            <w:pPr>
              <w:pStyle w:val="6"/>
            </w:pPr>
          </w:p>
        </w:tc>
      </w:tr>
      <w:tr w14:paraId="4CF574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724" w:type="dxa"/>
            <w:gridSpan w:val="3"/>
            <w:vMerge w:val="continue"/>
            <w:vAlign w:val="top"/>
          </w:tcPr>
          <w:p w14:paraId="4B76D866">
            <w:pPr>
              <w:spacing w:before="277" w:line="219" w:lineRule="auto"/>
              <w:ind w:left="83"/>
            </w:pPr>
          </w:p>
        </w:tc>
        <w:tc>
          <w:tcPr>
            <w:tcW w:w="1149" w:type="dxa"/>
            <w:gridSpan w:val="3"/>
            <w:vMerge w:val="continue"/>
            <w:vAlign w:val="top"/>
          </w:tcPr>
          <w:p w14:paraId="2893709A">
            <w:pPr>
              <w:spacing w:before="277" w:line="219" w:lineRule="auto"/>
              <w:ind w:left="83"/>
            </w:pPr>
          </w:p>
        </w:tc>
        <w:tc>
          <w:tcPr>
            <w:tcW w:w="939" w:type="dxa"/>
            <w:gridSpan w:val="3"/>
            <w:vMerge w:val="restart"/>
            <w:vAlign w:val="top"/>
          </w:tcPr>
          <w:p w14:paraId="5457CC5C">
            <w:pPr>
              <w:spacing w:before="65" w:line="220" w:lineRule="auto"/>
              <w:ind w:left="161"/>
              <w:rPr>
                <w:rFonts w:hint="eastAsia" w:ascii="宋体" w:hAnsi="宋体" w:eastAsia="宋体" w:cs="宋体"/>
                <w:spacing w:val="-2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  <w:lang w:val="en-US" w:eastAsia="zh-CN"/>
              </w:rPr>
              <w:t>支出金</w:t>
            </w:r>
          </w:p>
          <w:p w14:paraId="7E58FB15">
            <w:pPr>
              <w:spacing w:before="65" w:line="220" w:lineRule="auto"/>
              <w:ind w:left="161" w:firstLine="196" w:firstLineChars="100"/>
              <w:rPr>
                <w:rFonts w:hint="default" w:ascii="宋体" w:hAnsi="宋体" w:eastAsia="宋体" w:cs="宋体"/>
                <w:spacing w:val="8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  <w:lang w:val="en-US" w:eastAsia="zh-CN"/>
              </w:rPr>
              <w:t>额</w:t>
            </w:r>
          </w:p>
        </w:tc>
        <w:tc>
          <w:tcPr>
            <w:tcW w:w="1604" w:type="dxa"/>
            <w:gridSpan w:val="4"/>
            <w:vMerge w:val="restart"/>
            <w:vAlign w:val="top"/>
          </w:tcPr>
          <w:p w14:paraId="76548681">
            <w:pPr>
              <w:spacing w:before="277" w:line="219" w:lineRule="auto"/>
              <w:ind w:left="83"/>
              <w:rPr>
                <w:rFonts w:hint="default" w:ascii="宋体" w:hAnsi="宋体" w:eastAsia="宋体" w:cs="宋体"/>
                <w:spacing w:val="8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8"/>
                <w:sz w:val="20"/>
                <w:szCs w:val="20"/>
                <w:lang w:val="en-US" w:eastAsia="zh-CN"/>
              </w:rPr>
              <w:t>194,441.61</w:t>
            </w:r>
          </w:p>
        </w:tc>
        <w:tc>
          <w:tcPr>
            <w:tcW w:w="1604" w:type="dxa"/>
            <w:gridSpan w:val="3"/>
            <w:vAlign w:val="top"/>
          </w:tcPr>
          <w:p w14:paraId="74DD8ACB">
            <w:pPr>
              <w:spacing w:before="277" w:line="219" w:lineRule="auto"/>
              <w:rPr>
                <w:rFonts w:hint="eastAsia" w:ascii="宋体" w:hAnsi="宋体" w:eastAsia="宋体" w:cs="宋体"/>
                <w:spacing w:val="8"/>
                <w:sz w:val="20"/>
                <w:szCs w:val="20"/>
                <w:lang w:val="en-US" w:eastAsia="zh-CN"/>
              </w:rPr>
            </w:pPr>
            <w:r>
              <w:rPr>
                <w:rFonts w:ascii="宋体" w:hAnsi="宋体" w:eastAsia="宋体" w:cs="宋体"/>
                <w:spacing w:val="-20"/>
                <w:sz w:val="20"/>
                <w:szCs w:val="20"/>
              </w:rPr>
              <w:t>其中货币性：</w:t>
            </w: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194,441.61</w:t>
            </w:r>
          </w:p>
        </w:tc>
        <w:tc>
          <w:tcPr>
            <w:tcW w:w="7940" w:type="dxa"/>
            <w:gridSpan w:val="3"/>
            <w:vMerge w:val="continue"/>
            <w:vAlign w:val="top"/>
          </w:tcPr>
          <w:p w14:paraId="417B7A3C">
            <w:pPr>
              <w:spacing w:before="277" w:line="219" w:lineRule="auto"/>
              <w:ind w:left="83"/>
              <w:rPr>
                <w:rFonts w:ascii="宋体" w:hAnsi="宋体" w:eastAsia="宋体" w:cs="宋体"/>
                <w:spacing w:val="8"/>
                <w:sz w:val="20"/>
                <w:szCs w:val="20"/>
              </w:rPr>
            </w:pPr>
          </w:p>
        </w:tc>
      </w:tr>
      <w:tr w14:paraId="0E20B2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724" w:type="dxa"/>
            <w:gridSpan w:val="3"/>
            <w:vMerge w:val="continue"/>
            <w:vAlign w:val="top"/>
          </w:tcPr>
          <w:p w14:paraId="7B1DCD5C">
            <w:pPr>
              <w:spacing w:before="277" w:line="219" w:lineRule="auto"/>
              <w:ind w:left="83"/>
            </w:pPr>
          </w:p>
        </w:tc>
        <w:tc>
          <w:tcPr>
            <w:tcW w:w="1149" w:type="dxa"/>
            <w:gridSpan w:val="3"/>
            <w:vMerge w:val="continue"/>
            <w:vAlign w:val="top"/>
          </w:tcPr>
          <w:p w14:paraId="6A9E544B">
            <w:pPr>
              <w:spacing w:before="277" w:line="219" w:lineRule="auto"/>
              <w:ind w:left="83"/>
            </w:pPr>
          </w:p>
        </w:tc>
        <w:tc>
          <w:tcPr>
            <w:tcW w:w="939" w:type="dxa"/>
            <w:gridSpan w:val="3"/>
            <w:vMerge w:val="continue"/>
            <w:vAlign w:val="top"/>
          </w:tcPr>
          <w:p w14:paraId="2214A530">
            <w:pPr>
              <w:spacing w:before="277" w:line="219" w:lineRule="auto"/>
              <w:ind w:left="83"/>
            </w:pPr>
          </w:p>
        </w:tc>
        <w:tc>
          <w:tcPr>
            <w:tcW w:w="1604" w:type="dxa"/>
            <w:gridSpan w:val="4"/>
            <w:vMerge w:val="continue"/>
            <w:vAlign w:val="top"/>
          </w:tcPr>
          <w:p w14:paraId="07FA1F6C">
            <w:pPr>
              <w:spacing w:before="277" w:line="219" w:lineRule="auto"/>
              <w:ind w:left="83"/>
            </w:pPr>
          </w:p>
        </w:tc>
        <w:tc>
          <w:tcPr>
            <w:tcW w:w="1604" w:type="dxa"/>
            <w:gridSpan w:val="3"/>
            <w:vAlign w:val="top"/>
          </w:tcPr>
          <w:p w14:paraId="6ED97CBA">
            <w:pPr>
              <w:spacing w:before="48" w:line="219" w:lineRule="auto"/>
              <w:ind w:left="9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其中非货币性：</w:t>
            </w:r>
          </w:p>
          <w:p w14:paraId="4748ABA0">
            <w:pPr>
              <w:spacing w:before="277" w:line="219" w:lineRule="auto"/>
              <w:ind w:left="83"/>
              <w:rPr>
                <w:rFonts w:hint="eastAsia" w:ascii="宋体" w:hAnsi="宋体" w:eastAsia="宋体" w:cs="宋体"/>
                <w:spacing w:val="8"/>
                <w:sz w:val="20"/>
                <w:szCs w:val="20"/>
                <w:lang w:val="en-US" w:eastAsia="zh-CN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0.00</w:t>
            </w:r>
          </w:p>
        </w:tc>
        <w:tc>
          <w:tcPr>
            <w:tcW w:w="7940" w:type="dxa"/>
            <w:gridSpan w:val="3"/>
            <w:vMerge w:val="continue"/>
            <w:vAlign w:val="top"/>
          </w:tcPr>
          <w:p w14:paraId="52F5F92D">
            <w:pPr>
              <w:spacing w:before="277" w:line="219" w:lineRule="auto"/>
              <w:ind w:left="83"/>
              <w:rPr>
                <w:rFonts w:hint="eastAsia" w:ascii="宋体" w:hAnsi="宋体" w:eastAsia="宋体" w:cs="宋体"/>
                <w:spacing w:val="8"/>
                <w:sz w:val="20"/>
                <w:szCs w:val="20"/>
                <w:lang w:val="en-US" w:eastAsia="zh-CN"/>
              </w:rPr>
            </w:pPr>
          </w:p>
        </w:tc>
      </w:tr>
      <w:tr w14:paraId="79C5BA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trHeight w:val="657" w:hRule="atLeast"/>
        </w:trPr>
        <w:tc>
          <w:tcPr>
            <w:tcW w:w="714" w:type="dxa"/>
            <w:gridSpan w:val="2"/>
            <w:vMerge w:val="restart"/>
            <w:tcBorders>
              <w:bottom w:val="nil"/>
            </w:tcBorders>
            <w:vAlign w:val="top"/>
          </w:tcPr>
          <w:p w14:paraId="370C9A68">
            <w:pPr>
              <w:spacing w:before="65"/>
              <w:ind w:left="26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5</w:t>
            </w:r>
          </w:p>
        </w:tc>
        <w:tc>
          <w:tcPr>
            <w:tcW w:w="1139" w:type="dxa"/>
            <w:gridSpan w:val="2"/>
            <w:vMerge w:val="restart"/>
            <w:tcBorders>
              <w:bottom w:val="nil"/>
            </w:tcBorders>
            <w:vAlign w:val="top"/>
          </w:tcPr>
          <w:p w14:paraId="377178ED">
            <w:pPr>
              <w:spacing w:before="65" w:line="264" w:lineRule="auto"/>
              <w:ind w:left="60" w:right="46" w:firstLine="100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0"/>
                <w:szCs w:val="20"/>
                <w:lang w:eastAsia="zh-CN"/>
              </w:rPr>
              <w:t>“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奔跑中耕</w:t>
            </w: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耘，平凡中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闪耀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  <w:lang w:eastAsia="zh-CN"/>
              </w:rPr>
              <w:t>”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  <w:lang w:val="en-US" w:eastAsia="zh-CN"/>
              </w:rPr>
              <w:t>项目</w:t>
            </w:r>
          </w:p>
        </w:tc>
        <w:tc>
          <w:tcPr>
            <w:tcW w:w="929" w:type="dxa"/>
            <w:gridSpan w:val="3"/>
            <w:vAlign w:val="top"/>
          </w:tcPr>
          <w:p w14:paraId="2717CFD1">
            <w:pPr>
              <w:spacing w:before="194" w:line="221" w:lineRule="auto"/>
              <w:ind w:left="2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时间</w:t>
            </w:r>
          </w:p>
        </w:tc>
        <w:tc>
          <w:tcPr>
            <w:tcW w:w="3198" w:type="dxa"/>
            <w:gridSpan w:val="8"/>
            <w:vAlign w:val="top"/>
          </w:tcPr>
          <w:p w14:paraId="3C7970BB">
            <w:pPr>
              <w:spacing w:before="283" w:line="219" w:lineRule="auto"/>
              <w:rPr>
                <w:rFonts w:hint="default" w:ascii="宋体" w:hAnsi="宋体" w:eastAsia="宋体" w:cs="宋体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  <w:lang w:val="en-US" w:eastAsia="zh-CN"/>
              </w:rPr>
              <w:t>2024年4月24日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至</w:t>
            </w:r>
            <w:r>
              <w:rPr>
                <w:rFonts w:hint="eastAsia" w:ascii="宋体" w:hAnsi="宋体" w:eastAsia="宋体" w:cs="宋体"/>
                <w:spacing w:val="5"/>
                <w:sz w:val="20"/>
                <w:szCs w:val="20"/>
                <w:lang w:val="en-US" w:eastAsia="zh-CN"/>
              </w:rPr>
              <w:t>2024年4月26日</w:t>
            </w:r>
          </w:p>
        </w:tc>
        <w:tc>
          <w:tcPr>
            <w:tcW w:w="7974" w:type="dxa"/>
            <w:gridSpan w:val="3"/>
            <w:vMerge w:val="restart"/>
            <w:tcBorders>
              <w:bottom w:val="nil"/>
            </w:tcBorders>
            <w:vAlign w:val="top"/>
          </w:tcPr>
          <w:p w14:paraId="66BAD3C0">
            <w:pPr>
              <w:spacing w:before="73" w:line="206" w:lineRule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项目背景：</w:t>
            </w:r>
          </w:p>
          <w:p w14:paraId="6EA0FF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7" w:lineRule="auto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为深入贯彻落实党的二十大精神和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推动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工会精神，北京市朝阳区人民政府建外街道总工会与北京济康公益基金会（原名：北京一刻公益基金会）于2024年4月24日至26日，携手开展了“奔跑中耕耘，平凡中闪耀”主题公益项目。项目面向建外街道辖区内的外卖员、快递员等新就业形态劳动者，旨在将工会组织“娘家人”的温暖关怀切实传递给每一位“新”邻里，有效提升该群体的社区凝聚力和归属感。</w:t>
            </w:r>
          </w:p>
          <w:p w14:paraId="213CEDE5">
            <w:pPr>
              <w:spacing w:before="73" w:line="206" w:lineRule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项目内容：</w:t>
            </w:r>
          </w:p>
          <w:p w14:paraId="4B8D5E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7" w:lineRule="auto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该项目围绕“回家”主题，精心策划了三项核心活动：一是设立“惠骑餐厅”，有效解决户外劳动者的就餐难题；二是发放内含实用物资的“五福”能量包，满足劳动者日常工作中的应急与健康需求；三是组织开展照片征集活动，鼓励劳动者展示自身的职业风采与拼搏瞬间。</w:t>
            </w:r>
          </w:p>
          <w:p w14:paraId="388BC2F1">
            <w:pPr>
              <w:spacing w:before="73" w:line="206" w:lineRule="auto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公益成果：</w:t>
            </w:r>
          </w:p>
          <w:p w14:paraId="47D6E94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7" w:lineRule="auto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本项目在以下三方面取得了显著成效：</w:t>
            </w:r>
          </w:p>
          <w:p w14:paraId="2C59B8B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7" w:lineRule="auto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1.有效改善了目标群体的生活质量，累计服务劳动者超过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100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人次，“惠骑餐厅”与能量包获得了广泛好评和切实依赖；</w:t>
            </w:r>
          </w:p>
          <w:p w14:paraId="619CC1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7" w:lineRule="auto"/>
              <w:ind w:left="0"/>
              <w:textAlignment w:val="baseline"/>
              <w:rPr>
                <w:rFonts w:hint="eastAsia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2.显著增强了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新兴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劳动者的社区归属感，通过工会的近距离关怀与服务，</w:t>
            </w:r>
            <w:r>
              <w:rPr>
                <w:rFonts w:hint="eastAsia" w:ascii="宋体" w:hAnsi="宋体" w:eastAsia="宋体" w:cs="宋体"/>
                <w:sz w:val="20"/>
                <w:szCs w:val="20"/>
                <w:lang w:val="en-US" w:eastAsia="zh-CN"/>
              </w:rPr>
              <w:t>这些新兴</w:t>
            </w:r>
            <w:r>
              <w:rPr>
                <w:rFonts w:hint="eastAsia" w:ascii="宋体" w:hAnsi="宋体" w:eastAsia="宋体" w:cs="宋体"/>
                <w:sz w:val="20"/>
                <w:szCs w:val="20"/>
              </w:rPr>
              <w:t>劳动者对建外社区的认同感和融入度得到实质性提升；</w:t>
            </w:r>
          </w:p>
          <w:p w14:paraId="3B223D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07" w:lineRule="auto"/>
              <w:ind w:left="0"/>
              <w:textAlignment w:val="baseline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sz w:val="20"/>
                <w:szCs w:val="20"/>
              </w:rPr>
              <w:t>3.成功提升了新业态群体的社会能见度与形象，照片征集活动生动展现了平凡岗位的奋斗精神，推动了更广泛公众的关注与尊重。</w:t>
            </w:r>
          </w:p>
        </w:tc>
      </w:tr>
      <w:tr w14:paraId="30FE2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trHeight w:val="759" w:hRule="atLeast"/>
        </w:trPr>
        <w:tc>
          <w:tcPr>
            <w:tcW w:w="714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11E06B63">
            <w:pPr>
              <w:pStyle w:val="6"/>
            </w:pPr>
          </w:p>
        </w:tc>
        <w:tc>
          <w:tcPr>
            <w:tcW w:w="1139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3F8C7994">
            <w:pPr>
              <w:pStyle w:val="6"/>
            </w:pPr>
          </w:p>
        </w:tc>
        <w:tc>
          <w:tcPr>
            <w:tcW w:w="929" w:type="dxa"/>
            <w:gridSpan w:val="3"/>
            <w:vAlign w:val="top"/>
          </w:tcPr>
          <w:p w14:paraId="7BF729D6">
            <w:pPr>
              <w:spacing w:before="287" w:line="224" w:lineRule="auto"/>
              <w:ind w:left="2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9"/>
                <w:sz w:val="20"/>
                <w:szCs w:val="20"/>
              </w:rPr>
              <w:t>地点</w:t>
            </w:r>
          </w:p>
        </w:tc>
        <w:tc>
          <w:tcPr>
            <w:tcW w:w="3198" w:type="dxa"/>
            <w:gridSpan w:val="8"/>
            <w:vAlign w:val="top"/>
          </w:tcPr>
          <w:p w14:paraId="382368B8">
            <w:pPr>
              <w:spacing w:before="283" w:line="219" w:lineRule="auto"/>
              <w:ind w:left="139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北京</w:t>
            </w:r>
          </w:p>
        </w:tc>
        <w:tc>
          <w:tcPr>
            <w:tcW w:w="79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47F1D92A">
            <w:pPr>
              <w:pStyle w:val="6"/>
            </w:pPr>
          </w:p>
        </w:tc>
      </w:tr>
      <w:tr w14:paraId="1B6206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trHeight w:val="709" w:hRule="atLeast"/>
        </w:trPr>
        <w:tc>
          <w:tcPr>
            <w:tcW w:w="714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411661DE">
            <w:pPr>
              <w:pStyle w:val="6"/>
            </w:pPr>
          </w:p>
        </w:tc>
        <w:tc>
          <w:tcPr>
            <w:tcW w:w="1139" w:type="dxa"/>
            <w:gridSpan w:val="2"/>
            <w:vMerge w:val="continue"/>
            <w:tcBorders>
              <w:top w:val="nil"/>
              <w:bottom w:val="nil"/>
            </w:tcBorders>
            <w:vAlign w:val="top"/>
          </w:tcPr>
          <w:p w14:paraId="2803023F">
            <w:pPr>
              <w:pStyle w:val="6"/>
            </w:pPr>
          </w:p>
        </w:tc>
        <w:tc>
          <w:tcPr>
            <w:tcW w:w="929" w:type="dxa"/>
            <w:gridSpan w:val="3"/>
            <w:vMerge w:val="restart"/>
            <w:tcBorders>
              <w:bottom w:val="nil"/>
            </w:tcBorders>
            <w:vAlign w:val="top"/>
          </w:tcPr>
          <w:p w14:paraId="246E7E06">
            <w:pPr>
              <w:spacing w:before="65" w:line="220" w:lineRule="auto"/>
              <w:ind w:left="1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支出金</w:t>
            </w:r>
          </w:p>
          <w:p w14:paraId="1EB575C3">
            <w:pPr>
              <w:spacing w:before="81" w:line="219" w:lineRule="auto"/>
              <w:ind w:left="35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额</w:t>
            </w:r>
          </w:p>
        </w:tc>
        <w:tc>
          <w:tcPr>
            <w:tcW w:w="1605" w:type="dxa"/>
            <w:gridSpan w:val="5"/>
            <w:vMerge w:val="restart"/>
            <w:tcBorders>
              <w:bottom w:val="nil"/>
            </w:tcBorders>
            <w:vAlign w:val="top"/>
          </w:tcPr>
          <w:p w14:paraId="2D042B61">
            <w:pPr>
              <w:spacing w:before="65" w:line="216" w:lineRule="auto"/>
              <w:ind w:left="42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40,333.32</w:t>
            </w:r>
          </w:p>
        </w:tc>
        <w:tc>
          <w:tcPr>
            <w:tcW w:w="1593" w:type="dxa"/>
            <w:gridSpan w:val="3"/>
            <w:vAlign w:val="top"/>
          </w:tcPr>
          <w:p w14:paraId="7F38B956">
            <w:pPr>
              <w:spacing w:before="62" w:line="285" w:lineRule="auto"/>
              <w:ind w:left="83" w:right="105" w:firstLine="20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1"/>
                <w:sz w:val="20"/>
                <w:szCs w:val="20"/>
              </w:rPr>
              <w:t>其中</w:t>
            </w:r>
            <w:r>
              <w:rPr>
                <w:rFonts w:hint="eastAsia" w:ascii="宋体" w:hAnsi="宋体" w:eastAsia="宋体" w:cs="宋体"/>
                <w:spacing w:val="-21"/>
                <w:sz w:val="20"/>
                <w:szCs w:val="20"/>
                <w:lang w:val="en-US" w:eastAsia="zh-CN"/>
              </w:rPr>
              <w:t>货币</w:t>
            </w:r>
            <w:r>
              <w:rPr>
                <w:rFonts w:ascii="宋体" w:hAnsi="宋体" w:eastAsia="宋体" w:cs="宋体"/>
                <w:spacing w:val="-21"/>
                <w:sz w:val="20"/>
                <w:szCs w:val="20"/>
              </w:rPr>
              <w:t>性：</w:t>
            </w: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40,333.32</w:t>
            </w:r>
          </w:p>
        </w:tc>
        <w:tc>
          <w:tcPr>
            <w:tcW w:w="7974" w:type="dxa"/>
            <w:gridSpan w:val="3"/>
            <w:vMerge w:val="continue"/>
            <w:tcBorders>
              <w:top w:val="nil"/>
              <w:bottom w:val="nil"/>
            </w:tcBorders>
            <w:vAlign w:val="top"/>
          </w:tcPr>
          <w:p w14:paraId="16C5DE0D">
            <w:pPr>
              <w:pStyle w:val="6"/>
            </w:pPr>
          </w:p>
        </w:tc>
      </w:tr>
      <w:tr w14:paraId="408E11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trHeight w:val="1318" w:hRule="atLeast"/>
        </w:trPr>
        <w:tc>
          <w:tcPr>
            <w:tcW w:w="714" w:type="dxa"/>
            <w:gridSpan w:val="2"/>
            <w:vMerge w:val="continue"/>
            <w:tcBorders>
              <w:top w:val="nil"/>
            </w:tcBorders>
            <w:vAlign w:val="top"/>
          </w:tcPr>
          <w:p w14:paraId="2F422518">
            <w:pPr>
              <w:pStyle w:val="6"/>
            </w:pPr>
          </w:p>
        </w:tc>
        <w:tc>
          <w:tcPr>
            <w:tcW w:w="1139" w:type="dxa"/>
            <w:gridSpan w:val="2"/>
            <w:vMerge w:val="continue"/>
            <w:tcBorders>
              <w:top w:val="nil"/>
            </w:tcBorders>
            <w:vAlign w:val="top"/>
          </w:tcPr>
          <w:p w14:paraId="419A6FAE">
            <w:pPr>
              <w:pStyle w:val="6"/>
            </w:pPr>
          </w:p>
        </w:tc>
        <w:tc>
          <w:tcPr>
            <w:tcW w:w="929" w:type="dxa"/>
            <w:gridSpan w:val="3"/>
            <w:vMerge w:val="continue"/>
            <w:tcBorders>
              <w:top w:val="nil"/>
            </w:tcBorders>
            <w:vAlign w:val="top"/>
          </w:tcPr>
          <w:p w14:paraId="53469D6D">
            <w:pPr>
              <w:pStyle w:val="6"/>
            </w:pPr>
          </w:p>
        </w:tc>
        <w:tc>
          <w:tcPr>
            <w:tcW w:w="1605" w:type="dxa"/>
            <w:gridSpan w:val="5"/>
            <w:vMerge w:val="continue"/>
            <w:tcBorders>
              <w:top w:val="nil"/>
            </w:tcBorders>
            <w:vAlign w:val="top"/>
          </w:tcPr>
          <w:p w14:paraId="57F9CBDE">
            <w:pPr>
              <w:pStyle w:val="6"/>
            </w:pPr>
          </w:p>
        </w:tc>
        <w:tc>
          <w:tcPr>
            <w:tcW w:w="1593" w:type="dxa"/>
            <w:gridSpan w:val="3"/>
            <w:vAlign w:val="top"/>
          </w:tcPr>
          <w:p w14:paraId="1582E403">
            <w:pPr>
              <w:spacing w:before="43" w:line="219" w:lineRule="auto"/>
              <w:ind w:left="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其中非货币性：</w:t>
            </w:r>
          </w:p>
          <w:p w14:paraId="4F6D4816">
            <w:pPr>
              <w:spacing w:before="113" w:line="239" w:lineRule="auto"/>
              <w:ind w:left="8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0.00</w:t>
            </w:r>
          </w:p>
        </w:tc>
        <w:tc>
          <w:tcPr>
            <w:tcW w:w="7974" w:type="dxa"/>
            <w:gridSpan w:val="3"/>
            <w:vMerge w:val="continue"/>
            <w:tcBorders>
              <w:top w:val="nil"/>
            </w:tcBorders>
            <w:vAlign w:val="top"/>
          </w:tcPr>
          <w:p w14:paraId="383A35F7">
            <w:pPr>
              <w:pStyle w:val="6"/>
            </w:pPr>
          </w:p>
        </w:tc>
      </w:tr>
      <w:tr w14:paraId="574BD3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trHeight w:val="609" w:hRule="atLeast"/>
        </w:trPr>
        <w:tc>
          <w:tcPr>
            <w:tcW w:w="1853" w:type="dxa"/>
            <w:gridSpan w:val="4"/>
            <w:vMerge w:val="restart"/>
            <w:tcBorders>
              <w:bottom w:val="nil"/>
            </w:tcBorders>
            <w:vAlign w:val="top"/>
          </w:tcPr>
          <w:p w14:paraId="2DA1E790">
            <w:pPr>
              <w:spacing w:before="65" w:line="219" w:lineRule="auto"/>
              <w:ind w:left="304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支出金额合计</w:t>
            </w:r>
          </w:p>
        </w:tc>
        <w:tc>
          <w:tcPr>
            <w:tcW w:w="2534" w:type="dxa"/>
            <w:gridSpan w:val="8"/>
            <w:vMerge w:val="restart"/>
            <w:tcBorders>
              <w:bottom w:val="nil"/>
            </w:tcBorders>
            <w:vAlign w:val="top"/>
          </w:tcPr>
          <w:p w14:paraId="6E9276F9">
            <w:pPr>
              <w:spacing w:before="101" w:line="216" w:lineRule="auto"/>
              <w:ind w:left="511"/>
              <w:rPr>
                <w:rFonts w:ascii="宋体" w:hAnsi="宋体" w:eastAsia="宋体" w:cs="宋体"/>
                <w:sz w:val="31"/>
                <w:szCs w:val="31"/>
              </w:rPr>
            </w:pPr>
            <w:r>
              <w:rPr>
                <w:rFonts w:hint="eastAsia" w:ascii="宋体" w:hAnsi="宋体" w:eastAsia="宋体" w:cs="宋体"/>
                <w:spacing w:val="-2"/>
                <w:sz w:val="24"/>
                <w:szCs w:val="24"/>
                <w:lang w:val="en-US" w:eastAsia="zh-CN"/>
              </w:rPr>
              <w:t>736,696.04</w:t>
            </w:r>
          </w:p>
        </w:tc>
        <w:tc>
          <w:tcPr>
            <w:tcW w:w="9567" w:type="dxa"/>
            <w:gridSpan w:val="6"/>
            <w:vAlign w:val="top"/>
          </w:tcPr>
          <w:p w14:paraId="699C8EDD">
            <w:pPr>
              <w:spacing w:before="214" w:line="216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其中货币性：736,696.04</w:t>
            </w:r>
          </w:p>
        </w:tc>
      </w:tr>
      <w:tr w14:paraId="18D50E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6" w:type="dxa"/>
          <w:trHeight w:val="514" w:hRule="atLeast"/>
        </w:trPr>
        <w:tc>
          <w:tcPr>
            <w:tcW w:w="1853" w:type="dxa"/>
            <w:gridSpan w:val="4"/>
            <w:vMerge w:val="continue"/>
            <w:tcBorders>
              <w:top w:val="nil"/>
            </w:tcBorders>
            <w:vAlign w:val="top"/>
          </w:tcPr>
          <w:p w14:paraId="63F7EAE5">
            <w:pPr>
              <w:pStyle w:val="6"/>
            </w:pPr>
          </w:p>
        </w:tc>
        <w:tc>
          <w:tcPr>
            <w:tcW w:w="2534" w:type="dxa"/>
            <w:gridSpan w:val="8"/>
            <w:vMerge w:val="continue"/>
            <w:tcBorders>
              <w:top w:val="nil"/>
            </w:tcBorders>
            <w:vAlign w:val="top"/>
          </w:tcPr>
          <w:p w14:paraId="76DB8676">
            <w:pPr>
              <w:pStyle w:val="6"/>
            </w:pPr>
          </w:p>
        </w:tc>
        <w:tc>
          <w:tcPr>
            <w:tcW w:w="9567" w:type="dxa"/>
            <w:gridSpan w:val="6"/>
            <w:vAlign w:val="top"/>
          </w:tcPr>
          <w:p w14:paraId="4E5B943E">
            <w:pPr>
              <w:spacing w:before="57" w:line="219" w:lineRule="auto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其中非货币性：0.00</w:t>
            </w:r>
          </w:p>
        </w:tc>
      </w:tr>
    </w:tbl>
    <w:p w14:paraId="4333AAEB">
      <w:pPr>
        <w:spacing w:line="245" w:lineRule="auto"/>
        <w:rPr>
          <w:rFonts w:ascii="Arial"/>
          <w:sz w:val="21"/>
        </w:rPr>
      </w:pPr>
    </w:p>
    <w:p w14:paraId="4F87EFD4">
      <w:p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 w14:paraId="5F078F7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2C3D0F"/>
    <w:rsid w:val="79247C7B"/>
    <w:rsid w:val="7D2C3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10"/>
      <w:szCs w:val="1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3128</Words>
  <Characters>3340</Characters>
  <Lines>0</Lines>
  <Paragraphs>0</Paragraphs>
  <TotalTime>0</TotalTime>
  <ScaleCrop>false</ScaleCrop>
  <LinksUpToDate>false</LinksUpToDate>
  <CharactersWithSpaces>3340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2025-10-20T02:26:00Z</dcterms:created>
  <dc:creator>sqhmn</dc:creator>
  <cp:lastModifiedBy>sqhmn</cp:lastModifiedBy>
  <dcterms:modified xsi:type="dcterms:W3CDTF">2025-10-20T02:27:43Z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949A51F18BD44062AA85EDBE8BD0F66C_11</vt:lpwstr>
  </property>
  <property fmtid="{D5CDD505-2E9C-101B-9397-08002B2CF9AE}" pid="4" name="KSOTemplateDocerSaveRecord">
    <vt:lpwstr>eyJoZGlkIjoiOWFmMzk4M2U4MTQ4NzFmN2ZmY2E2MWY4NmQzNmQ5OGQiLCJ1c2VySWQiOiIxMTM0MTg1MTAwIn0=</vt:lpwstr>
  </property>
</Properties>
</file>